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899" w:rsidRDefault="00D55899" w:rsidP="00D55899">
      <w:pPr>
        <w:pStyle w:val="1"/>
      </w:pPr>
      <w:r>
        <w:t>(56-23-5)四氯化碳的理化及危险特性表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3399"/>
        <w:gridCol w:w="3116"/>
        <w:gridCol w:w="2170"/>
      </w:tblGrid>
      <w:tr w:rsidR="00D55899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中文名：四氯化碳；四氯甲烷</w:t>
            </w: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carbon tetrachloride</w:t>
            </w:r>
            <w:r>
              <w:rPr>
                <w:rFonts w:ascii="宋体" w:hAnsi="宋体" w:hint="eastAsia"/>
                <w:lang w:val="en-GB"/>
              </w:rPr>
              <w:t>；</w:t>
            </w:r>
            <w:r>
              <w:rPr>
                <w:rFonts w:ascii="宋体" w:hAnsi="宋体" w:hint="eastAsia"/>
              </w:rPr>
              <w:t>tetrachloromethane</w:t>
            </w:r>
          </w:p>
        </w:tc>
      </w:tr>
      <w:tr w:rsidR="00D5589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/>
              </w:rPr>
              <w:t>C</w:t>
            </w:r>
            <w:r>
              <w:rPr>
                <w:rFonts w:ascii="宋体" w:hAnsi="宋体" w:hint="eastAsia"/>
              </w:rPr>
              <w:t>Cl</w:t>
            </w:r>
            <w:r>
              <w:rPr>
                <w:rFonts w:ascii="宋体" w:hAnsi="宋体" w:hint="eastAsia"/>
                <w:vertAlign w:val="subscript"/>
              </w:rPr>
              <w:t>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分子量：153.84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UN编号：1846</w:t>
            </w:r>
          </w:p>
        </w:tc>
      </w:tr>
      <w:tr w:rsidR="00D5589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 毒害品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61554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CAS号：56-23-5</w:t>
            </w:r>
          </w:p>
        </w:tc>
      </w:tr>
      <w:tr w:rsidR="00D5589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包装标志：有毒品</w:t>
            </w: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D55899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外观与性状：无色有特臭的透明液体，极易挥发。</w:t>
            </w:r>
          </w:p>
        </w:tc>
      </w:tr>
      <w:tr w:rsidR="00D5589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溶解性：微溶于水，易溶于多数有机溶剂。</w:t>
            </w:r>
          </w:p>
        </w:tc>
      </w:tr>
      <w:tr w:rsidR="00D5589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熔点（℃）：-22.6</w:t>
            </w: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沸点（℃）：76.8</w:t>
            </w:r>
          </w:p>
        </w:tc>
      </w:tr>
      <w:tr w:rsidR="00D5589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相对密度（水＝1）：1.60</w:t>
            </w: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相对密度（空气＝1）：5.3</w:t>
            </w:r>
          </w:p>
        </w:tc>
      </w:tr>
      <w:tr w:rsidR="00D5589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饱和蒸气压（kPa）：13.33(23℃)</w:t>
            </w: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燃烧热（kJ/mol）：364.9</w:t>
            </w:r>
          </w:p>
        </w:tc>
      </w:tr>
      <w:tr w:rsidR="00D55899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临界温度（℃）：283.2</w:t>
            </w: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临界压力（MPa）：45.58</w:t>
            </w:r>
          </w:p>
        </w:tc>
      </w:tr>
      <w:tr w:rsidR="00D55899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不燃</w:t>
            </w: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D5589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爆炸上限（%）：无意义</w:t>
            </w:r>
          </w:p>
        </w:tc>
      </w:tr>
      <w:tr w:rsidR="00D5589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最小点火能（mJ）：无意义</w:t>
            </w:r>
          </w:p>
        </w:tc>
      </w:tr>
      <w:tr w:rsidR="00D5589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最大爆炸压力（MPa）：无意义</w:t>
            </w: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D5589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燃烧分解产物：氯化物、光气。</w:t>
            </w:r>
          </w:p>
        </w:tc>
      </w:tr>
      <w:tr w:rsidR="00D5589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避免接触的条件：光照。</w:t>
            </w: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禁忌物：活性金属粉末、强氧化剂。</w:t>
            </w:r>
          </w:p>
        </w:tc>
      </w:tr>
      <w:tr w:rsidR="00D5589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危险特性：本品不会燃烧，但遇明火或高易产生剧毒的光气和氯化氢烟雾。在潮湿的空气中逐渐分解成光气和氯化氢。</w:t>
            </w:r>
          </w:p>
        </w:tc>
      </w:tr>
      <w:tr w:rsidR="00D5589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灭火方法：消防人员必须佩戴过滤式防毒面具(全面罩)或隔离式呼吸器、穿全身防火防毒服，在上风处灭火。灭火剂：雾状水、二氧化碳、砂土。</w:t>
            </w:r>
          </w:p>
        </w:tc>
      </w:tr>
      <w:tr w:rsidR="00D55899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：2350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(大鼠经口)；5070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(大鼠经皮)；</w:t>
            </w:r>
          </w:p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：50400</w:t>
            </w:r>
            <w:r>
              <w:rPr>
                <w:rFonts w:ascii="宋体" w:hAnsi="宋体"/>
              </w:rPr>
              <w:t>mg/kg，</w:t>
            </w:r>
            <w:r>
              <w:rPr>
                <w:rFonts w:ascii="宋体" w:hAnsi="宋体" w:hint="eastAsia"/>
              </w:rPr>
              <w:t>4小时(大鼠吸入)；</w:t>
            </w:r>
          </w:p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IARC致癌性性评论：对动物阳性，人类可疑。</w:t>
            </w:r>
          </w:p>
        </w:tc>
      </w:tr>
      <w:tr w:rsidR="00D55899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D55899" w:rsidTr="0090435F">
        <w:trPr>
          <w:cantSplit/>
          <w:trHeight w:val="819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浓度本品蒸气对粘膜有轻度刺激作用，对中枢神经系统有麻醉作用，对肝、肾有严重损害。急性中毒：吸入较高浓度本品蒸气，最初出现眼及上呼吸道刺激症状。随后可出现中枢神经系统抑制和肠胃症状。较严重病例数小时或数天后出现中毒性肝肾损伤。重者甚至发生肝坏死、肝昏迷或急性肾功能衰竭。吸入极高浓度可迅速出现昏迷、抽搐，可因室颤和呼吸中枢神经麻痹而猝死。口服中毒肝肾损害明显。少数病倒了生周围神经炎、球后视神经炎。皮肤直接接触可至损害。慢性中毒：神经衰弱综合征、肝肾损害、皮炎。</w:t>
            </w:r>
          </w:p>
        </w:tc>
      </w:tr>
      <w:tr w:rsidR="00D55899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皮肤接触：立即脱去污染的衣着，用大量流动清水彻底冲洗皮肤。就医。   ※眼睛接触：立即提起眼睑，用大量流动清水或生理盐水彻底冲洗，至少15分钟。就医。   ※吸入：迅速脱离现场至空气新鲜处。保持呼吸道通畅。如呼吸困难，给输氧。如呼吸停止，立即进行人工呼吸，就医。    ※食入：饮足量温水，催吐，洗胃。就医。</w:t>
            </w:r>
          </w:p>
        </w:tc>
      </w:tr>
      <w:tr w:rsidR="00D55899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工程控制：生产过程密，加强通风。   ※呼吸系统防护：空气中浓度超标时，应佩戴直接式防毒面具</w:t>
            </w:r>
            <w:r>
              <w:rPr>
                <w:rFonts w:ascii="宋体" w:hAnsi="宋体"/>
              </w:rPr>
              <w:t>(半面罩)。紧急事态抢救或撤离时，佩戴空气呼吸器。</w:t>
            </w:r>
            <w:r>
              <w:rPr>
                <w:rFonts w:ascii="宋体" w:hAnsi="宋体" w:hint="eastAsia"/>
              </w:rPr>
              <w:t xml:space="preserve">   ※眼睛防护：戴安全护目镜。   ※身体防护：</w:t>
            </w:r>
            <w:r>
              <w:rPr>
                <w:rFonts w:ascii="宋体" w:hAnsi="宋体"/>
              </w:rPr>
              <w:t>穿防毒物渗透工作服</w:t>
            </w:r>
            <w:r>
              <w:rPr>
                <w:rFonts w:ascii="宋体" w:hAnsi="宋体" w:hint="eastAsia"/>
              </w:rPr>
              <w:t>。   ※手防护：戴防化学品手套。   ※其他：工作现场禁止吸烟、进食和饮水。工作毕，淋浴更衣。单独存放被毒物污染的衣服，洗后备用。</w:t>
            </w:r>
            <w:r>
              <w:rPr>
                <w:rFonts w:ascii="宋体" w:hAnsi="宋体"/>
              </w:rPr>
              <w:t>保持良好的卫生习惯。</w:t>
            </w:r>
          </w:p>
        </w:tc>
      </w:tr>
      <w:tr w:rsidR="00D55899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建议应急处理人员戴自给正压式呼吸器，穿防毒服。不要直接接触泄漏物。尽可能切断泄漏源，防止进入下水道、排洪沟等限制性空间。小量泄漏：用活性炭或其它惰性材料吸收。大量泄漏：构筑围堤或挖坑收容。喷雾状水冷却和稀释蒸气，保护现场人员，但不要支泄漏点直接喷水。用泵转移至槽车或专用收集器内，回收或运到废物处理场所处置。</w:t>
            </w:r>
          </w:p>
        </w:tc>
      </w:tr>
      <w:tr w:rsidR="00D55899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899" w:rsidRDefault="00D55899" w:rsidP="0090435F">
            <w:pPr>
              <w:spacing w:line="282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储存于阴凉、通风仓间内。远离火种、热源。避免光照。保持容器密封。应与食用化学品、金属粉末等分开存放。不可混储混运。搬运时要轻装轻卸，防止包装及容器破损。分装和搬运作业要注意个人防护。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899"/>
    <w:rsid w:val="00D55899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7504F-3074-4B03-8CEB-256EF1A2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55899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55899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Company>zyhq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2021-06-02T07:09:00Z</dcterms:created>
  <dcterms:modified xsi:type="dcterms:W3CDTF">2021-06-02T07:09:00Z</dcterms:modified>
</cp:coreProperties>
</file>